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6"/>
        <w:gridCol w:w="7343"/>
        <w:gridCol w:w="1438"/>
        <w:gridCol w:w="2001"/>
        <w:gridCol w:w="2196"/>
      </w:tblGrid>
      <w:tr w:rsidR="006E63C2" w:rsidRPr="00972931" w:rsidTr="00E3038E">
        <w:trPr>
          <w:trHeight w:val="405"/>
        </w:trPr>
        <w:tc>
          <w:tcPr>
            <w:tcW w:w="13994" w:type="dxa"/>
            <w:gridSpan w:val="5"/>
            <w:shd w:val="clear" w:color="auto" w:fill="F2F2F2" w:themeFill="background1" w:themeFillShade="F2"/>
            <w:noWrap/>
            <w:hideMark/>
          </w:tcPr>
          <w:p w:rsidR="006E63C2" w:rsidRPr="006E63C2" w:rsidRDefault="006E63C2" w:rsidP="00972931">
            <w:pPr>
              <w:rPr>
                <w:b/>
                <w:i/>
                <w:iCs/>
              </w:rPr>
            </w:pPr>
            <w:bookmarkStart w:id="0" w:name="_GoBack"/>
            <w:bookmarkEnd w:id="0"/>
            <w:r w:rsidRPr="00972931">
              <w:rPr>
                <w:b/>
                <w:bCs/>
              </w:rPr>
              <w:t>Biämneshelheter i RYSKA, Helsingfors</w:t>
            </w:r>
            <w:r w:rsidRPr="0097293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972931">
              <w:rPr>
                <w:b/>
                <w:i/>
                <w:iCs/>
              </w:rPr>
              <w:t>TOTAL ECTS som krävs för ett biämne/ required for a minor</w:t>
            </w:r>
            <w:r>
              <w:rPr>
                <w:b/>
                <w:i/>
                <w:iCs/>
              </w:rPr>
              <w:t xml:space="preserve"> 25</w:t>
            </w:r>
            <w:r>
              <w:rPr>
                <w:b/>
                <w:i/>
                <w:iCs/>
              </w:rPr>
              <w:br/>
            </w:r>
            <w:r w:rsidRPr="00A534D3">
              <w:rPr>
                <w:rFonts w:cstheme="minorHAnsi"/>
                <w:lang w:val="sv-FI"/>
              </w:rPr>
              <w:t>Vill du förutom språket koncentrera dig på rysk affärskultur, det ryska samhället, Östeuropa eller Östersjön?</w:t>
            </w:r>
          </w:p>
          <w:p w:rsidR="006E63C2" w:rsidRPr="00972931" w:rsidRDefault="006E63C2" w:rsidP="00972931">
            <w:pPr>
              <w:rPr>
                <w:b/>
                <w:lang w:val="sv-FI"/>
              </w:rPr>
            </w:pPr>
            <w:r w:rsidRPr="00A534D3">
              <w:rPr>
                <w:rFonts w:cstheme="minorHAnsi"/>
                <w:lang w:val="sv-FI"/>
              </w:rPr>
              <w:t xml:space="preserve">Välj </w:t>
            </w:r>
            <w:r>
              <w:rPr>
                <w:rFonts w:cstheme="minorHAnsi"/>
                <w:lang w:val="sv-FI"/>
              </w:rPr>
              <w:t xml:space="preserve">minst </w:t>
            </w:r>
            <w:r w:rsidRPr="00972931">
              <w:rPr>
                <w:rFonts w:cstheme="minorHAnsi"/>
                <w:b/>
                <w:lang w:val="sv-FI"/>
              </w:rPr>
              <w:t>10 sp</w:t>
            </w:r>
            <w:r w:rsidRPr="00A534D3">
              <w:rPr>
                <w:rFonts w:cstheme="minorHAnsi"/>
                <w:lang w:val="sv-FI"/>
              </w:rPr>
              <w:t xml:space="preserve"> </w:t>
            </w:r>
            <w:r w:rsidRPr="00133E1D">
              <w:rPr>
                <w:rFonts w:cstheme="minorHAnsi"/>
                <w:b/>
                <w:lang w:val="sv-FI"/>
              </w:rPr>
              <w:t>ur språkutbudet</w:t>
            </w:r>
            <w:r w:rsidRPr="00133E1D">
              <w:rPr>
                <w:rFonts w:cstheme="minorHAnsi"/>
                <w:lang w:val="sv-FI"/>
              </w:rPr>
              <w:t xml:space="preserve"> </w:t>
            </w:r>
            <w:r w:rsidRPr="00A534D3">
              <w:rPr>
                <w:rFonts w:cstheme="minorHAnsi"/>
                <w:lang w:val="sv-FI"/>
              </w:rPr>
              <w:t xml:space="preserve">(se tabellen ovan) och komplettera biämneshelheten med kurser som intresserar dig. Välj fritt enligt eget intresse. </w:t>
            </w:r>
            <w:r>
              <w:rPr>
                <w:rFonts w:cstheme="minorHAnsi"/>
                <w:lang w:val="sv-FI"/>
              </w:rPr>
              <w:br/>
            </w:r>
            <w:r w:rsidRPr="00A534D3">
              <w:rPr>
                <w:rFonts w:cstheme="minorHAnsi"/>
                <w:lang w:val="sv-FI"/>
              </w:rPr>
              <w:t>Kom ihåg att s</w:t>
            </w:r>
            <w:r>
              <w:rPr>
                <w:rFonts w:cstheme="minorHAnsi"/>
                <w:lang w:val="sv-FI"/>
              </w:rPr>
              <w:t>tudiepoängen för Biämneshelhet 1</w:t>
            </w:r>
            <w:r w:rsidRPr="00A534D3">
              <w:rPr>
                <w:rFonts w:cstheme="minorHAnsi"/>
                <w:lang w:val="sv-FI"/>
              </w:rPr>
              <w:t xml:space="preserve"> </w:t>
            </w:r>
            <w:r w:rsidRPr="00A534D3">
              <w:rPr>
                <w:lang w:val="sv-FI"/>
              </w:rPr>
              <w:t>totalt måste v</w:t>
            </w:r>
            <w:r>
              <w:rPr>
                <w:lang w:val="sv-FI"/>
              </w:rPr>
              <w:t xml:space="preserve">ara </w:t>
            </w:r>
            <w:r w:rsidRPr="00972931">
              <w:rPr>
                <w:b/>
                <w:lang w:val="sv-FI"/>
              </w:rPr>
              <w:t xml:space="preserve">minst 25 sp inklusive 10 sp för språkkurserna. </w:t>
            </w:r>
          </w:p>
          <w:p w:rsidR="006E63C2" w:rsidRPr="00972931" w:rsidRDefault="006E63C2">
            <w:pPr>
              <w:rPr>
                <w:b/>
                <w:bCs/>
              </w:rPr>
            </w:pPr>
            <w:r w:rsidRPr="00972931">
              <w:rPr>
                <w:b/>
                <w:bCs/>
                <w:color w:val="1F3864" w:themeColor="accent1" w:themeShade="80"/>
                <w:lang w:val="sv-FI"/>
              </w:rPr>
              <w:br/>
            </w:r>
            <w:r w:rsidRPr="00972931">
              <w:rPr>
                <w:b/>
                <w:bCs/>
                <w:color w:val="1F3864" w:themeColor="accent1" w:themeShade="80"/>
              </w:rPr>
              <w:t>Biämne 1: DEN RYSKA KULTURKRETSEN OCH AFFÄRSRYSKA</w:t>
            </w:r>
            <w:r>
              <w:rPr>
                <w:b/>
                <w:bCs/>
                <w:color w:val="1F3864" w:themeColor="accent1" w:themeShade="80"/>
              </w:rPr>
              <w:br/>
            </w:r>
          </w:p>
        </w:tc>
      </w:tr>
      <w:tr w:rsidR="00C769B4" w:rsidRPr="00972931" w:rsidTr="009D56D1">
        <w:trPr>
          <w:trHeight w:val="255"/>
        </w:trPr>
        <w:tc>
          <w:tcPr>
            <w:tcW w:w="13994" w:type="dxa"/>
            <w:gridSpan w:val="5"/>
            <w:shd w:val="clear" w:color="auto" w:fill="FFFFFF" w:themeFill="background1"/>
            <w:noWrap/>
            <w:hideMark/>
          </w:tcPr>
          <w:p w:rsidR="00C769B4" w:rsidRDefault="00C769B4">
            <w:pPr>
              <w:rPr>
                <w:b/>
                <w:bCs/>
                <w:color w:val="1F3864" w:themeColor="accent1" w:themeShade="80"/>
              </w:rPr>
            </w:pPr>
          </w:p>
          <w:p w:rsidR="00C769B4" w:rsidRPr="00CB280C" w:rsidRDefault="00C769B4" w:rsidP="00CB280C">
            <w:pPr>
              <w:rPr>
                <w:i/>
                <w:lang w:val="sv-FI"/>
              </w:rPr>
            </w:pPr>
            <w:r w:rsidRPr="00972931">
              <w:rPr>
                <w:b/>
                <w:bCs/>
                <w:color w:val="1F3864" w:themeColor="accent1" w:themeShade="80"/>
              </w:rPr>
              <w:t xml:space="preserve">Välj minst 10 sp ur språkkursutbudet </w:t>
            </w:r>
            <w:r>
              <w:rPr>
                <w:b/>
                <w:bCs/>
                <w:color w:val="1F3864" w:themeColor="accent1" w:themeShade="80"/>
              </w:rPr>
              <w:br/>
            </w:r>
            <w:r w:rsidRPr="00CB280C">
              <w:rPr>
                <w:i/>
                <w:lang w:val="sv-FI"/>
              </w:rPr>
              <w:t>Om du har studerat ryska tidigare skall du inte välja nybörjarkurserna Ryska I A eller Ryska I B utan börja från följande nivå.</w:t>
            </w:r>
          </w:p>
          <w:p w:rsidR="00C769B4" w:rsidRDefault="00C769B4" w:rsidP="00CB280C">
            <w:pPr>
              <w:rPr>
                <w:lang w:val="sv-FI"/>
              </w:rPr>
            </w:pPr>
            <w:r w:rsidRPr="00CB280C">
              <w:rPr>
                <w:i/>
                <w:lang w:val="sv-FI"/>
              </w:rPr>
              <w:t xml:space="preserve">Om du inte är säker på din nivå, kan du gärna komma och diskutera med ämneskoordinatorn i ryska. </w:t>
            </w:r>
            <w:r w:rsidR="00133E1D">
              <w:rPr>
                <w:i/>
                <w:lang w:val="sv-FI"/>
              </w:rPr>
              <w:br/>
            </w:r>
            <w:r w:rsidRPr="00CB280C">
              <w:rPr>
                <w:i/>
                <w:lang w:val="sv-FI"/>
              </w:rPr>
              <w:t>Du kan boka tid per e-post</w:t>
            </w:r>
            <w:r w:rsidRPr="00CB280C">
              <w:rPr>
                <w:lang w:val="sv-FI"/>
              </w:rPr>
              <w:t xml:space="preserve"> </w:t>
            </w:r>
            <w:hyperlink r:id="rId6" w:history="1">
              <w:r w:rsidRPr="00CB280C">
                <w:rPr>
                  <w:rStyle w:val="Hyperlink"/>
                  <w:lang w:val="sv-FI"/>
                </w:rPr>
                <w:t>irina.prokkola@hanken.fi</w:t>
              </w:r>
            </w:hyperlink>
            <w:r w:rsidRPr="00CB280C">
              <w:rPr>
                <w:lang w:val="sv-FI"/>
              </w:rPr>
              <w:t>.</w:t>
            </w:r>
          </w:p>
          <w:p w:rsidR="007A1D5F" w:rsidRPr="00133E1D" w:rsidRDefault="00133E1D" w:rsidP="00CB280C">
            <w:pPr>
              <w:rPr>
                <w:b/>
                <w:i/>
                <w:lang w:val="sv-FI"/>
              </w:rPr>
            </w:pPr>
            <w:r>
              <w:rPr>
                <w:b/>
                <w:i/>
                <w:lang w:val="sv-FI"/>
              </w:rPr>
              <w:br/>
            </w:r>
            <w:r w:rsidR="003803A4" w:rsidRPr="00133E1D">
              <w:rPr>
                <w:b/>
                <w:i/>
                <w:lang w:val="sv-FI"/>
              </w:rPr>
              <w:t>K</w:t>
            </w:r>
            <w:r w:rsidRPr="00133E1D">
              <w:rPr>
                <w:b/>
                <w:i/>
                <w:lang w:val="sv-FI"/>
              </w:rPr>
              <w:t>urser vid Aalto-universitetet</w:t>
            </w:r>
          </w:p>
          <w:p w:rsidR="007A1D5F" w:rsidRPr="00133E1D" w:rsidRDefault="007A1D5F" w:rsidP="000F667C">
            <w:pPr>
              <w:pStyle w:val="ListParagraph"/>
              <w:numPr>
                <w:ilvl w:val="0"/>
                <w:numId w:val="3"/>
              </w:numPr>
              <w:rPr>
                <w:i/>
                <w:lang w:val="sv-FI"/>
              </w:rPr>
            </w:pPr>
            <w:r w:rsidRPr="00133E1D">
              <w:rPr>
                <w:i/>
                <w:lang w:val="sv-FI"/>
              </w:rPr>
              <w:t xml:space="preserve">Studerande </w:t>
            </w:r>
            <w:r w:rsidR="000F667C" w:rsidRPr="00133E1D">
              <w:rPr>
                <w:i/>
                <w:lang w:val="sv-FI"/>
              </w:rPr>
              <w:t>avlägger</w:t>
            </w:r>
            <w:r w:rsidRPr="00133E1D">
              <w:rPr>
                <w:i/>
                <w:lang w:val="sv-FI"/>
              </w:rPr>
              <w:t xml:space="preserve"> Aalto-universitetets kurser Ryska 6 och Ryska 7 i ordning: först Ryska 6 och sedan Ryska 7.</w:t>
            </w:r>
            <w:r w:rsidR="003222E1" w:rsidRPr="00133E1D">
              <w:rPr>
                <w:i/>
                <w:lang w:val="sv-FI"/>
              </w:rPr>
              <w:t xml:space="preserve"> </w:t>
            </w:r>
            <w:r w:rsidR="003803A4" w:rsidRPr="00133E1D">
              <w:rPr>
                <w:i/>
                <w:lang w:val="sv-FI"/>
              </w:rPr>
              <w:br/>
            </w:r>
            <w:r w:rsidR="003222E1" w:rsidRPr="00133E1D">
              <w:rPr>
                <w:i/>
                <w:lang w:val="sv-FI"/>
              </w:rPr>
              <w:t xml:space="preserve">Om du </w:t>
            </w:r>
            <w:r w:rsidR="003803A4" w:rsidRPr="00133E1D">
              <w:rPr>
                <w:i/>
                <w:lang w:val="sv-FI"/>
              </w:rPr>
              <w:t xml:space="preserve">bara </w:t>
            </w:r>
            <w:r w:rsidR="003222E1" w:rsidRPr="00133E1D">
              <w:rPr>
                <w:i/>
                <w:lang w:val="sv-FI"/>
              </w:rPr>
              <w:t xml:space="preserve">vill ta Ryska 7 måste du </w:t>
            </w:r>
            <w:r w:rsidR="000F667C" w:rsidRPr="00133E1D">
              <w:rPr>
                <w:i/>
                <w:lang w:val="sv-FI"/>
              </w:rPr>
              <w:t>ha tillräckliga kunskaper för den</w:t>
            </w:r>
            <w:r w:rsidR="00133E1D">
              <w:rPr>
                <w:i/>
                <w:lang w:val="sv-FI"/>
              </w:rPr>
              <w:t>.</w:t>
            </w:r>
            <w:r w:rsidR="003222E1" w:rsidRPr="00133E1D">
              <w:rPr>
                <w:i/>
                <w:lang w:val="sv-FI"/>
              </w:rPr>
              <w:t xml:space="preserve"> </w:t>
            </w:r>
            <w:r w:rsidR="003803A4" w:rsidRPr="00133E1D">
              <w:rPr>
                <w:i/>
                <w:lang w:val="sv-FI"/>
              </w:rPr>
              <w:br/>
            </w:r>
            <w:r w:rsidR="003222E1" w:rsidRPr="00133E1D">
              <w:rPr>
                <w:i/>
                <w:lang w:val="sv-FI"/>
              </w:rPr>
              <w:t xml:space="preserve">Kolla vilka tidigare kunskaper </w:t>
            </w:r>
            <w:r w:rsidR="00874377" w:rsidRPr="00133E1D">
              <w:rPr>
                <w:i/>
                <w:lang w:val="sv-FI"/>
              </w:rPr>
              <w:t xml:space="preserve">man </w:t>
            </w:r>
            <w:r w:rsidR="003222E1" w:rsidRPr="00133E1D">
              <w:rPr>
                <w:i/>
                <w:lang w:val="sv-FI"/>
              </w:rPr>
              <w:t xml:space="preserve">behöver </w:t>
            </w:r>
            <w:r w:rsidR="00874377" w:rsidRPr="00133E1D">
              <w:rPr>
                <w:i/>
                <w:lang w:val="sv-FI"/>
              </w:rPr>
              <w:t>för att genomföra Ryska 7.</w:t>
            </w:r>
            <w:r w:rsidR="003222E1" w:rsidRPr="00133E1D">
              <w:rPr>
                <w:i/>
                <w:lang w:val="sv-FI"/>
              </w:rPr>
              <w:t xml:space="preserve"> Kontakta ämneskoordinatorn i ryska.</w:t>
            </w:r>
          </w:p>
          <w:p w:rsidR="007A1D5F" w:rsidRPr="00133E1D" w:rsidRDefault="007A1D5F" w:rsidP="007A1D5F">
            <w:pPr>
              <w:pStyle w:val="ListParagraph"/>
              <w:numPr>
                <w:ilvl w:val="0"/>
                <w:numId w:val="3"/>
              </w:numPr>
              <w:rPr>
                <w:i/>
                <w:lang w:val="sv-FI"/>
              </w:rPr>
            </w:pPr>
            <w:r w:rsidRPr="00133E1D">
              <w:rPr>
                <w:i/>
                <w:lang w:val="sv-FI"/>
              </w:rPr>
              <w:t xml:space="preserve">På nivå 8 finns det </w:t>
            </w:r>
            <w:r w:rsidRPr="00133E1D">
              <w:rPr>
                <w:b/>
                <w:i/>
                <w:lang w:val="sv-FI"/>
              </w:rPr>
              <w:t>tre</w:t>
            </w:r>
            <w:r w:rsidRPr="00133E1D">
              <w:rPr>
                <w:i/>
                <w:lang w:val="sv-FI"/>
              </w:rPr>
              <w:t xml:space="preserve"> kurser Ryska 8: LC 8581, LC8582 och LC 8583. Studerande kan </w:t>
            </w:r>
            <w:r w:rsidR="00AB6AD4" w:rsidRPr="00133E1D">
              <w:rPr>
                <w:i/>
                <w:lang w:val="sv-FI"/>
              </w:rPr>
              <w:t>göra</w:t>
            </w:r>
            <w:r w:rsidRPr="00133E1D">
              <w:rPr>
                <w:i/>
                <w:lang w:val="sv-FI"/>
              </w:rPr>
              <w:t xml:space="preserve"> dessa kurser i vilken ordning som helst. </w:t>
            </w:r>
          </w:p>
          <w:p w:rsidR="00C769B4" w:rsidRPr="007A1D5F" w:rsidRDefault="00C769B4">
            <w:pPr>
              <w:rPr>
                <w:b/>
                <w:bCs/>
                <w:lang w:val="sv-FI"/>
              </w:rPr>
            </w:pPr>
          </w:p>
        </w:tc>
      </w:tr>
      <w:tr w:rsidR="00972931" w:rsidRPr="00972931" w:rsidTr="006E63C2">
        <w:trPr>
          <w:trHeight w:val="555"/>
        </w:trPr>
        <w:tc>
          <w:tcPr>
            <w:tcW w:w="1016" w:type="dxa"/>
            <w:shd w:val="clear" w:color="auto" w:fill="F2F2F2" w:themeFill="background1" w:themeFillShade="F2"/>
            <w:hideMark/>
          </w:tcPr>
          <w:p w:rsidR="00972931" w:rsidRPr="00972931" w:rsidRDefault="00C769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Kurskod/ </w:t>
            </w:r>
          </w:p>
        </w:tc>
        <w:tc>
          <w:tcPr>
            <w:tcW w:w="7343" w:type="dxa"/>
            <w:shd w:val="clear" w:color="auto" w:fill="F2F2F2" w:themeFill="background1" w:themeFillShade="F2"/>
            <w:hideMark/>
          </w:tcPr>
          <w:p w:rsidR="00972931" w:rsidRPr="00972931" w:rsidRDefault="00972931">
            <w:pPr>
              <w:rPr>
                <w:i/>
                <w:iCs/>
              </w:rPr>
            </w:pPr>
            <w:r w:rsidRPr="00972931">
              <w:rPr>
                <w:i/>
                <w:iCs/>
              </w:rPr>
              <w:t>Kursnamn/Course name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:rsidR="00972931" w:rsidRPr="00972931" w:rsidRDefault="00C769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Antal ECTS/ </w:t>
            </w:r>
          </w:p>
        </w:tc>
        <w:tc>
          <w:tcPr>
            <w:tcW w:w="2001" w:type="dxa"/>
            <w:shd w:val="clear" w:color="auto" w:fill="F2F2F2" w:themeFill="background1" w:themeFillShade="F2"/>
            <w:hideMark/>
          </w:tcPr>
          <w:p w:rsidR="00972931" w:rsidRPr="00972931" w:rsidRDefault="00C769B4">
            <w:pPr>
              <w:rPr>
                <w:i/>
                <w:iCs/>
              </w:rPr>
            </w:pPr>
            <w:r>
              <w:rPr>
                <w:i/>
                <w:iCs/>
              </w:rPr>
              <w:t>Undervisas av</w:t>
            </w:r>
          </w:p>
        </w:tc>
        <w:tc>
          <w:tcPr>
            <w:tcW w:w="2196" w:type="dxa"/>
            <w:shd w:val="clear" w:color="auto" w:fill="F2F2F2" w:themeFill="background1" w:themeFillShade="F2"/>
            <w:hideMark/>
          </w:tcPr>
          <w:p w:rsidR="00972931" w:rsidRPr="00972931" w:rsidRDefault="00C769B4">
            <w:pPr>
              <w:rPr>
                <w:i/>
                <w:iCs/>
              </w:rPr>
            </w:pPr>
            <w:r>
              <w:rPr>
                <w:i/>
                <w:iCs/>
              </w:rPr>
              <w:t>Kommentar</w:t>
            </w:r>
          </w:p>
        </w:tc>
      </w:tr>
      <w:tr w:rsidR="00972931" w:rsidRPr="00972931" w:rsidTr="006E63C2">
        <w:trPr>
          <w:trHeight w:val="300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5342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 xml:space="preserve">RYSKA </w:t>
            </w:r>
            <w:r w:rsidR="00CA2ACA">
              <w:t xml:space="preserve">I A, Ryska för nybörjare A </w:t>
            </w:r>
          </w:p>
        </w:tc>
        <w:tc>
          <w:tcPr>
            <w:tcW w:w="1438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 w:rsidP="00972931">
            <w:r w:rsidRPr="00972931">
              <w:t>5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Hanken</w:t>
            </w:r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P1-P2</w:t>
            </w:r>
          </w:p>
        </w:tc>
      </w:tr>
      <w:tr w:rsidR="00972931" w:rsidRPr="00972931" w:rsidTr="006E63C2">
        <w:trPr>
          <w:trHeight w:val="255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5343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 xml:space="preserve">RYSKA </w:t>
            </w:r>
            <w:r w:rsidR="00CA2ACA">
              <w:t xml:space="preserve">I B, Ryska för nybörjare B 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:rsidR="00972931" w:rsidRPr="00972931" w:rsidRDefault="00972931" w:rsidP="00972931">
            <w:r w:rsidRPr="00972931">
              <w:t>5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Hanken</w:t>
            </w:r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P3-P4</w:t>
            </w:r>
          </w:p>
        </w:tc>
      </w:tr>
      <w:tr w:rsidR="00972931" w:rsidRPr="00972931" w:rsidTr="006E63C2">
        <w:trPr>
          <w:trHeight w:val="255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883122">
            <w:r>
              <w:t>5344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RYSKA II A, Grunder i affä</w:t>
            </w:r>
            <w:r w:rsidR="00CA2ACA">
              <w:t xml:space="preserve">rskommunikation på ryska II A 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:rsidR="00972931" w:rsidRPr="00972931" w:rsidRDefault="00972931" w:rsidP="00972931">
            <w:r w:rsidRPr="00972931">
              <w:t>3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Hanken</w:t>
            </w:r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P1</w:t>
            </w:r>
            <w:r w:rsidR="00883122">
              <w:t>-P2</w:t>
            </w:r>
          </w:p>
        </w:tc>
      </w:tr>
      <w:tr w:rsidR="00972931" w:rsidRPr="00972931" w:rsidTr="006E63C2">
        <w:trPr>
          <w:trHeight w:val="255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883122">
            <w:r>
              <w:t>5345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RYSKA II B, Grunder i affä</w:t>
            </w:r>
            <w:r w:rsidR="00CA2ACA">
              <w:t xml:space="preserve">rskommunikation på ryska II B 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:rsidR="00972931" w:rsidRPr="00972931" w:rsidRDefault="00972931" w:rsidP="00972931">
            <w:r w:rsidRPr="00972931">
              <w:t>3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Hanken</w:t>
            </w:r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883122">
            <w:r>
              <w:t>P3-P4</w:t>
            </w:r>
          </w:p>
        </w:tc>
      </w:tr>
      <w:tr w:rsidR="00972931" w:rsidRPr="00972931" w:rsidTr="006E63C2">
        <w:trPr>
          <w:trHeight w:val="255"/>
        </w:trPr>
        <w:tc>
          <w:tcPr>
            <w:tcW w:w="1016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5312</w:t>
            </w:r>
          </w:p>
        </w:tc>
        <w:tc>
          <w:tcPr>
            <w:tcW w:w="7343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RYSKA III A, Affärskontakter</w:t>
            </w:r>
            <w:r w:rsidR="00CA2ACA">
              <w:t xml:space="preserve"> per telefon 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:rsidR="00972931" w:rsidRPr="00972931" w:rsidRDefault="00972931" w:rsidP="00972931">
            <w:r w:rsidRPr="00972931">
              <w:t>5</w:t>
            </w:r>
          </w:p>
        </w:tc>
        <w:tc>
          <w:tcPr>
            <w:tcW w:w="2001" w:type="dxa"/>
            <w:shd w:val="clear" w:color="auto" w:fill="F2F2F2" w:themeFill="background1" w:themeFillShade="F2"/>
            <w:noWrap/>
            <w:hideMark/>
          </w:tcPr>
          <w:p w:rsidR="00972931" w:rsidRPr="00972931" w:rsidRDefault="00972931">
            <w:r w:rsidRPr="00972931">
              <w:t>Hanken</w:t>
            </w:r>
          </w:p>
        </w:tc>
        <w:tc>
          <w:tcPr>
            <w:tcW w:w="2196" w:type="dxa"/>
            <w:shd w:val="clear" w:color="auto" w:fill="F2F2F2" w:themeFill="background1" w:themeFillShade="F2"/>
            <w:noWrap/>
            <w:hideMark/>
          </w:tcPr>
          <w:p w:rsidR="00972931" w:rsidRPr="00972931" w:rsidRDefault="006E63C2">
            <w:r>
              <w:t>P1-P2</w:t>
            </w:r>
          </w:p>
        </w:tc>
      </w:tr>
      <w:tr w:rsidR="00972931" w:rsidRPr="00972931" w:rsidTr="007B676F">
        <w:trPr>
          <w:trHeight w:val="300"/>
        </w:trPr>
        <w:tc>
          <w:tcPr>
            <w:tcW w:w="1016" w:type="dxa"/>
            <w:shd w:val="clear" w:color="auto" w:fill="DEEAF6" w:themeFill="accent5" w:themeFillTint="33"/>
            <w:noWrap/>
            <w:hideMark/>
          </w:tcPr>
          <w:p w:rsidR="00972931" w:rsidRPr="00972931" w:rsidRDefault="006E63C2">
            <w:r>
              <w:t>LC-8566</w:t>
            </w:r>
            <w:r w:rsidR="00972931" w:rsidRPr="00972931">
              <w:t xml:space="preserve"> </w:t>
            </w:r>
          </w:p>
        </w:tc>
        <w:tc>
          <w:tcPr>
            <w:tcW w:w="7343" w:type="dxa"/>
            <w:shd w:val="clear" w:color="auto" w:fill="DEEAF6" w:themeFill="accent5" w:themeFillTint="33"/>
            <w:noWrap/>
            <w:hideMark/>
          </w:tcPr>
          <w:p w:rsidR="00972931" w:rsidRPr="00972931" w:rsidRDefault="006E63C2">
            <w:r>
              <w:t xml:space="preserve">Venäjä 6 ( </w:t>
            </w:r>
            <w:r w:rsidR="00981C73">
              <w:t xml:space="preserve">startnivå </w:t>
            </w:r>
            <w:r>
              <w:t xml:space="preserve">B1) </w:t>
            </w:r>
          </w:p>
        </w:tc>
        <w:tc>
          <w:tcPr>
            <w:tcW w:w="1438" w:type="dxa"/>
            <w:shd w:val="clear" w:color="auto" w:fill="DEEAF6" w:themeFill="accent5" w:themeFillTint="33"/>
            <w:noWrap/>
            <w:hideMark/>
          </w:tcPr>
          <w:p w:rsidR="00972931" w:rsidRPr="00972931" w:rsidRDefault="00972931" w:rsidP="00972931">
            <w:r w:rsidRPr="00972931">
              <w:t>3</w:t>
            </w:r>
          </w:p>
        </w:tc>
        <w:tc>
          <w:tcPr>
            <w:tcW w:w="2001" w:type="dxa"/>
            <w:shd w:val="clear" w:color="auto" w:fill="DEEAF6" w:themeFill="accent5" w:themeFillTint="33"/>
            <w:noWrap/>
            <w:hideMark/>
          </w:tcPr>
          <w:p w:rsidR="00972931" w:rsidRPr="00972931" w:rsidRDefault="00972931">
            <w:r w:rsidRPr="00972931">
              <w:t>Aalto-universitetet</w:t>
            </w:r>
          </w:p>
        </w:tc>
        <w:tc>
          <w:tcPr>
            <w:tcW w:w="2196" w:type="dxa"/>
            <w:shd w:val="clear" w:color="auto" w:fill="DEEAF6" w:themeFill="accent5" w:themeFillTint="33"/>
            <w:noWrap/>
            <w:hideMark/>
          </w:tcPr>
          <w:p w:rsidR="00972931" w:rsidRPr="00972931" w:rsidRDefault="006E63C2">
            <w:r>
              <w:t>P4</w:t>
            </w:r>
          </w:p>
        </w:tc>
      </w:tr>
      <w:tr w:rsidR="00981C73" w:rsidRPr="00972931" w:rsidTr="007B676F">
        <w:trPr>
          <w:trHeight w:val="300"/>
        </w:trPr>
        <w:tc>
          <w:tcPr>
            <w:tcW w:w="1016" w:type="dxa"/>
            <w:shd w:val="clear" w:color="auto" w:fill="DEEAF6" w:themeFill="accent5" w:themeFillTint="33"/>
            <w:noWrap/>
          </w:tcPr>
          <w:p w:rsidR="00981C73" w:rsidRDefault="00981C73">
            <w:r>
              <w:t>LC-8577</w:t>
            </w:r>
          </w:p>
        </w:tc>
        <w:tc>
          <w:tcPr>
            <w:tcW w:w="7343" w:type="dxa"/>
            <w:shd w:val="clear" w:color="auto" w:fill="DEEAF6" w:themeFill="accent5" w:themeFillTint="33"/>
            <w:noWrap/>
          </w:tcPr>
          <w:p w:rsidR="00981C73" w:rsidRPr="006E63C2" w:rsidRDefault="00981C73">
            <w:r>
              <w:t>Venäjä 7 (startnivå B1)</w:t>
            </w:r>
          </w:p>
        </w:tc>
        <w:tc>
          <w:tcPr>
            <w:tcW w:w="1438" w:type="dxa"/>
            <w:shd w:val="clear" w:color="auto" w:fill="DEEAF6" w:themeFill="accent5" w:themeFillTint="33"/>
            <w:noWrap/>
          </w:tcPr>
          <w:p w:rsidR="00981C73" w:rsidRPr="00972931" w:rsidRDefault="007A1D5F" w:rsidP="00972931">
            <w:r>
              <w:t>3</w:t>
            </w:r>
          </w:p>
        </w:tc>
        <w:tc>
          <w:tcPr>
            <w:tcW w:w="2001" w:type="dxa"/>
            <w:shd w:val="clear" w:color="auto" w:fill="DEEAF6" w:themeFill="accent5" w:themeFillTint="33"/>
            <w:noWrap/>
          </w:tcPr>
          <w:p w:rsidR="00981C73" w:rsidRPr="00972931" w:rsidRDefault="007B676F">
            <w:r>
              <w:t>Aalto-universitetet</w:t>
            </w:r>
          </w:p>
        </w:tc>
        <w:tc>
          <w:tcPr>
            <w:tcW w:w="2196" w:type="dxa"/>
            <w:shd w:val="clear" w:color="auto" w:fill="DEEAF6" w:themeFill="accent5" w:themeFillTint="33"/>
            <w:noWrap/>
          </w:tcPr>
          <w:p w:rsidR="00981C73" w:rsidRDefault="001B5990">
            <w:r>
              <w:t>P5</w:t>
            </w:r>
          </w:p>
        </w:tc>
      </w:tr>
      <w:tr w:rsidR="00972931" w:rsidRPr="00972931" w:rsidTr="007B676F">
        <w:trPr>
          <w:trHeight w:val="300"/>
        </w:trPr>
        <w:tc>
          <w:tcPr>
            <w:tcW w:w="1016" w:type="dxa"/>
            <w:shd w:val="clear" w:color="auto" w:fill="DEEAF6" w:themeFill="accent5" w:themeFillTint="33"/>
            <w:noWrap/>
            <w:hideMark/>
          </w:tcPr>
          <w:p w:rsidR="00972931" w:rsidRPr="00972931" w:rsidRDefault="006E63C2">
            <w:r>
              <w:t>LC-8581</w:t>
            </w:r>
          </w:p>
        </w:tc>
        <w:tc>
          <w:tcPr>
            <w:tcW w:w="7343" w:type="dxa"/>
            <w:shd w:val="clear" w:color="auto" w:fill="DEEAF6" w:themeFill="accent5" w:themeFillTint="33"/>
            <w:noWrap/>
            <w:hideMark/>
          </w:tcPr>
          <w:p w:rsidR="00972931" w:rsidRPr="00972931" w:rsidRDefault="006E63C2">
            <w:r w:rsidRPr="006E63C2">
              <w:t xml:space="preserve">Venäjä 8 Venäjänkielinen yritysviestintä A ( </w:t>
            </w:r>
            <w:r w:rsidR="00981C73">
              <w:t xml:space="preserve">startnivå </w:t>
            </w:r>
            <w:r w:rsidRPr="006E63C2">
              <w:t>C1)</w:t>
            </w:r>
          </w:p>
        </w:tc>
        <w:tc>
          <w:tcPr>
            <w:tcW w:w="1438" w:type="dxa"/>
            <w:shd w:val="clear" w:color="auto" w:fill="DEEAF6" w:themeFill="accent5" w:themeFillTint="33"/>
            <w:noWrap/>
            <w:hideMark/>
          </w:tcPr>
          <w:p w:rsidR="00972931" w:rsidRPr="00972931" w:rsidRDefault="00972931" w:rsidP="00972931">
            <w:r w:rsidRPr="00972931">
              <w:t>3</w:t>
            </w:r>
          </w:p>
        </w:tc>
        <w:tc>
          <w:tcPr>
            <w:tcW w:w="2001" w:type="dxa"/>
            <w:shd w:val="clear" w:color="auto" w:fill="DEEAF6" w:themeFill="accent5" w:themeFillTint="33"/>
            <w:noWrap/>
            <w:hideMark/>
          </w:tcPr>
          <w:p w:rsidR="00972931" w:rsidRPr="00972931" w:rsidRDefault="00972931">
            <w:r w:rsidRPr="00972931">
              <w:t>Aalto-universitetet</w:t>
            </w:r>
          </w:p>
        </w:tc>
        <w:tc>
          <w:tcPr>
            <w:tcW w:w="2196" w:type="dxa"/>
            <w:shd w:val="clear" w:color="auto" w:fill="DEEAF6" w:themeFill="accent5" w:themeFillTint="33"/>
            <w:noWrap/>
            <w:hideMark/>
          </w:tcPr>
          <w:p w:rsidR="00972931" w:rsidRPr="00972931" w:rsidRDefault="001B5990">
            <w:r>
              <w:t>P2</w:t>
            </w:r>
          </w:p>
        </w:tc>
      </w:tr>
      <w:tr w:rsidR="00972931" w:rsidRPr="00972931" w:rsidTr="007B676F">
        <w:trPr>
          <w:trHeight w:val="300"/>
        </w:trPr>
        <w:tc>
          <w:tcPr>
            <w:tcW w:w="1016" w:type="dxa"/>
            <w:shd w:val="clear" w:color="auto" w:fill="DEEAF6" w:themeFill="accent5" w:themeFillTint="33"/>
            <w:noWrap/>
            <w:hideMark/>
          </w:tcPr>
          <w:p w:rsidR="00972931" w:rsidRPr="00972931" w:rsidRDefault="00C769B4">
            <w:r>
              <w:t>LC-8582</w:t>
            </w:r>
          </w:p>
        </w:tc>
        <w:tc>
          <w:tcPr>
            <w:tcW w:w="7343" w:type="dxa"/>
            <w:shd w:val="clear" w:color="auto" w:fill="DEEAF6" w:themeFill="accent5" w:themeFillTint="33"/>
            <w:noWrap/>
            <w:hideMark/>
          </w:tcPr>
          <w:p w:rsidR="00972931" w:rsidRPr="00972931" w:rsidRDefault="00C769B4">
            <w:r w:rsidRPr="00C769B4">
              <w:t>Venäjä 8 Venäjänkieline</w:t>
            </w:r>
            <w:r>
              <w:t>n yritysviestintä B (</w:t>
            </w:r>
            <w:r w:rsidR="00981C73">
              <w:t xml:space="preserve"> startnivå </w:t>
            </w:r>
            <w:r>
              <w:t xml:space="preserve">C1) </w:t>
            </w:r>
          </w:p>
        </w:tc>
        <w:tc>
          <w:tcPr>
            <w:tcW w:w="1438" w:type="dxa"/>
            <w:shd w:val="clear" w:color="auto" w:fill="DEEAF6" w:themeFill="accent5" w:themeFillTint="33"/>
            <w:noWrap/>
            <w:hideMark/>
          </w:tcPr>
          <w:p w:rsidR="00972931" w:rsidRPr="00972931" w:rsidRDefault="00972931" w:rsidP="00972931">
            <w:r w:rsidRPr="00972931">
              <w:t>3</w:t>
            </w:r>
          </w:p>
        </w:tc>
        <w:tc>
          <w:tcPr>
            <w:tcW w:w="2001" w:type="dxa"/>
            <w:shd w:val="clear" w:color="auto" w:fill="DEEAF6" w:themeFill="accent5" w:themeFillTint="33"/>
            <w:noWrap/>
            <w:hideMark/>
          </w:tcPr>
          <w:p w:rsidR="00972931" w:rsidRPr="00972931" w:rsidRDefault="00972931">
            <w:r w:rsidRPr="00972931">
              <w:t>Aalto-universitetet</w:t>
            </w:r>
          </w:p>
        </w:tc>
        <w:tc>
          <w:tcPr>
            <w:tcW w:w="2196" w:type="dxa"/>
            <w:shd w:val="clear" w:color="auto" w:fill="DEEAF6" w:themeFill="accent5" w:themeFillTint="33"/>
            <w:noWrap/>
            <w:hideMark/>
          </w:tcPr>
          <w:p w:rsidR="00972931" w:rsidRPr="00972931" w:rsidRDefault="001B5990">
            <w:r>
              <w:t>P3</w:t>
            </w:r>
          </w:p>
        </w:tc>
      </w:tr>
      <w:tr w:rsidR="00972931" w:rsidRPr="00972931" w:rsidTr="007B676F">
        <w:trPr>
          <w:trHeight w:val="255"/>
        </w:trPr>
        <w:tc>
          <w:tcPr>
            <w:tcW w:w="1016" w:type="dxa"/>
            <w:shd w:val="clear" w:color="auto" w:fill="DEEAF6" w:themeFill="accent5" w:themeFillTint="33"/>
            <w:noWrap/>
            <w:hideMark/>
          </w:tcPr>
          <w:p w:rsidR="00972931" w:rsidRPr="00972931" w:rsidRDefault="00C769B4">
            <w:r>
              <w:t>LC-8583</w:t>
            </w:r>
          </w:p>
        </w:tc>
        <w:tc>
          <w:tcPr>
            <w:tcW w:w="7343" w:type="dxa"/>
            <w:shd w:val="clear" w:color="auto" w:fill="DEEAF6" w:themeFill="accent5" w:themeFillTint="33"/>
            <w:noWrap/>
            <w:hideMark/>
          </w:tcPr>
          <w:p w:rsidR="00972931" w:rsidRPr="00972931" w:rsidRDefault="00C769B4">
            <w:r w:rsidRPr="00C769B4">
              <w:t>Venäjä 8 Al</w:t>
            </w:r>
            <w:r>
              <w:t>akohtaista venäjää  (</w:t>
            </w:r>
            <w:r w:rsidR="00981C73">
              <w:t xml:space="preserve">startnivå </w:t>
            </w:r>
            <w:r>
              <w:t xml:space="preserve">C1) </w:t>
            </w:r>
          </w:p>
        </w:tc>
        <w:tc>
          <w:tcPr>
            <w:tcW w:w="1438" w:type="dxa"/>
            <w:shd w:val="clear" w:color="auto" w:fill="DEEAF6" w:themeFill="accent5" w:themeFillTint="33"/>
            <w:noWrap/>
            <w:hideMark/>
          </w:tcPr>
          <w:p w:rsidR="00972931" w:rsidRPr="00972931" w:rsidRDefault="00972931" w:rsidP="00972931">
            <w:r w:rsidRPr="00972931">
              <w:t>3</w:t>
            </w:r>
          </w:p>
        </w:tc>
        <w:tc>
          <w:tcPr>
            <w:tcW w:w="2001" w:type="dxa"/>
            <w:shd w:val="clear" w:color="auto" w:fill="DEEAF6" w:themeFill="accent5" w:themeFillTint="33"/>
            <w:noWrap/>
            <w:hideMark/>
          </w:tcPr>
          <w:p w:rsidR="00972931" w:rsidRPr="00972931" w:rsidRDefault="00972931">
            <w:r w:rsidRPr="00972931">
              <w:t>Aalto-universitetet</w:t>
            </w:r>
          </w:p>
        </w:tc>
        <w:tc>
          <w:tcPr>
            <w:tcW w:w="2196" w:type="dxa"/>
            <w:shd w:val="clear" w:color="auto" w:fill="DEEAF6" w:themeFill="accent5" w:themeFillTint="33"/>
            <w:noWrap/>
            <w:hideMark/>
          </w:tcPr>
          <w:p w:rsidR="00972931" w:rsidRPr="001B5990" w:rsidRDefault="007B676F">
            <w:pPr>
              <w:rPr>
                <w:lang w:val="en-GB"/>
              </w:rPr>
            </w:pPr>
            <w:r>
              <w:rPr>
                <w:lang w:val="en-GB"/>
              </w:rPr>
              <w:t>P4</w:t>
            </w:r>
          </w:p>
        </w:tc>
      </w:tr>
      <w:tr w:rsidR="00972931" w:rsidRPr="00972931" w:rsidTr="00972931">
        <w:trPr>
          <w:trHeight w:val="255"/>
        </w:trPr>
        <w:tc>
          <w:tcPr>
            <w:tcW w:w="11798" w:type="dxa"/>
            <w:gridSpan w:val="4"/>
            <w:shd w:val="clear" w:color="auto" w:fill="FFFFFF" w:themeFill="background1"/>
            <w:noWrap/>
            <w:hideMark/>
          </w:tcPr>
          <w:p w:rsidR="00741ABE" w:rsidRDefault="00741ABE">
            <w:pPr>
              <w:rPr>
                <w:b/>
                <w:bCs/>
                <w:color w:val="1F3864" w:themeColor="accent1" w:themeShade="80"/>
              </w:rPr>
            </w:pPr>
          </w:p>
          <w:p w:rsidR="00133E1D" w:rsidRDefault="00133E1D">
            <w:pPr>
              <w:rPr>
                <w:b/>
                <w:bCs/>
                <w:color w:val="1F3864" w:themeColor="accent1" w:themeShade="80"/>
              </w:rPr>
            </w:pPr>
          </w:p>
          <w:p w:rsidR="00972931" w:rsidRDefault="00972931">
            <w:pPr>
              <w:rPr>
                <w:b/>
                <w:bCs/>
                <w:color w:val="1F3864" w:themeColor="accent1" w:themeShade="80"/>
              </w:rPr>
            </w:pPr>
            <w:r w:rsidRPr="00972931">
              <w:rPr>
                <w:b/>
                <w:bCs/>
                <w:color w:val="1F3864" w:themeColor="accent1" w:themeShade="80"/>
              </w:rPr>
              <w:lastRenderedPageBreak/>
              <w:t>Välj minst 5 sp ur kulturstudier</w:t>
            </w:r>
          </w:p>
          <w:p w:rsidR="00741ABE" w:rsidRPr="00972931" w:rsidRDefault="00741ABE">
            <w:pPr>
              <w:rPr>
                <w:b/>
                <w:bCs/>
              </w:rPr>
            </w:pPr>
          </w:p>
        </w:tc>
        <w:tc>
          <w:tcPr>
            <w:tcW w:w="2196" w:type="dxa"/>
            <w:shd w:val="clear" w:color="auto" w:fill="FFFFFF" w:themeFill="background1"/>
            <w:noWrap/>
            <w:hideMark/>
          </w:tcPr>
          <w:p w:rsidR="00972931" w:rsidRPr="00972931" w:rsidRDefault="00972931">
            <w:pPr>
              <w:rPr>
                <w:b/>
                <w:bCs/>
              </w:rPr>
            </w:pPr>
          </w:p>
        </w:tc>
      </w:tr>
      <w:tr w:rsidR="00133E1D" w:rsidRPr="00972931" w:rsidTr="000F3D6E">
        <w:trPr>
          <w:trHeight w:val="255"/>
        </w:trPr>
        <w:tc>
          <w:tcPr>
            <w:tcW w:w="13994" w:type="dxa"/>
            <w:gridSpan w:val="5"/>
            <w:shd w:val="clear" w:color="auto" w:fill="F2F2F2" w:themeFill="background1" w:themeFillShade="F2"/>
            <w:noWrap/>
            <w:hideMark/>
          </w:tcPr>
          <w:p w:rsidR="00133E1D" w:rsidRPr="00972931" w:rsidRDefault="00133E1D">
            <w:r w:rsidRPr="00972931">
              <w:t> </w:t>
            </w:r>
          </w:p>
          <w:p w:rsidR="00133E1D" w:rsidRPr="00AA3496" w:rsidRDefault="00133E1D" w:rsidP="00AA3496">
            <w:pPr>
              <w:rPr>
                <w:bCs/>
                <w:i/>
                <w:color w:val="1F3864" w:themeColor="accent1" w:themeShade="80"/>
              </w:rPr>
            </w:pPr>
            <w:r w:rsidRPr="00972931">
              <w:rPr>
                <w:b/>
                <w:bCs/>
                <w:i/>
                <w:color w:val="1F3864" w:themeColor="accent1" w:themeShade="80"/>
              </w:rPr>
              <w:t>RYSK AFFÄRSKULTUR OCH SAMHÄLLE</w:t>
            </w:r>
            <w:r>
              <w:rPr>
                <w:b/>
                <w:bCs/>
                <w:i/>
                <w:color w:val="1F3864" w:themeColor="accent1" w:themeShade="80"/>
              </w:rPr>
              <w:br/>
            </w:r>
            <w:r w:rsidRPr="002354B0">
              <w:rPr>
                <w:bCs/>
                <w:i/>
                <w:color w:val="1F3864" w:themeColor="accent1" w:themeShade="80"/>
              </w:rPr>
              <w:t xml:space="preserve">Den här delen består av kurser inom VIExpert-programmet som ordnas vid Aleksanderinstitutet. </w:t>
            </w:r>
            <w:r>
              <w:rPr>
                <w:bCs/>
                <w:i/>
                <w:color w:val="1F3864" w:themeColor="accent1" w:themeShade="80"/>
              </w:rPr>
              <w:br/>
            </w:r>
            <w:r w:rsidRPr="00AA3496">
              <w:rPr>
                <w:bCs/>
                <w:i/>
                <w:color w:val="002060"/>
                <w:lang w:val="sv-FI"/>
              </w:rPr>
              <w:t>VIExpert-programmet finns här</w:t>
            </w:r>
            <w:r w:rsidRPr="00AA3496">
              <w:rPr>
                <w:bCs/>
                <w:i/>
                <w:color w:val="7030A0"/>
                <w:lang w:val="sv-FI"/>
              </w:rPr>
              <w:t xml:space="preserve">: </w:t>
            </w:r>
            <w:hyperlink r:id="rId7" w:history="1">
              <w:r w:rsidRPr="00AA3496">
                <w:rPr>
                  <w:rStyle w:val="Hyperlink"/>
                  <w:bCs/>
                  <w:i/>
                  <w:lang w:val="sv-FI"/>
                </w:rPr>
                <w:t>https://www2.helsinki.fi/fi/aleksanteri-instituutti/opetus/maisteritason-opinnot/viexpert/opetusohjelma-2020-2021</w:t>
              </w:r>
            </w:hyperlink>
            <w:r w:rsidRPr="00AA3496">
              <w:rPr>
                <w:bCs/>
                <w:i/>
                <w:color w:val="FF0000"/>
                <w:lang w:val="sv-FI"/>
              </w:rPr>
              <w:t xml:space="preserve"> </w:t>
            </w:r>
            <w:r w:rsidRPr="00AA3496">
              <w:rPr>
                <w:bCs/>
                <w:i/>
                <w:color w:val="002060"/>
                <w:lang w:val="sv-FI"/>
              </w:rPr>
              <w:t>(programmet för 2021-2022 uppdateras senare)</w:t>
            </w:r>
          </w:p>
          <w:p w:rsidR="00133E1D" w:rsidRPr="00AA3496" w:rsidRDefault="00133E1D">
            <w:pPr>
              <w:rPr>
                <w:bCs/>
                <w:i/>
                <w:color w:val="1F3864" w:themeColor="accent1" w:themeShade="80"/>
                <w:lang w:val="sv-FI"/>
              </w:rPr>
            </w:pPr>
          </w:p>
          <w:p w:rsidR="00133E1D" w:rsidRPr="00AA3496" w:rsidRDefault="00133E1D" w:rsidP="000F667C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2060"/>
                <w:lang w:val="fi-FI"/>
              </w:rPr>
            </w:pPr>
            <w:r w:rsidRPr="00AA3496">
              <w:rPr>
                <w:bCs/>
                <w:i/>
                <w:color w:val="002060"/>
                <w:lang w:val="fi-FI"/>
              </w:rPr>
              <w:t xml:space="preserve">Ansökning till VIExpert-programmet sker en gång per år, på våren och  studerande börjar på programmet i början av nästa </w:t>
            </w:r>
            <w:r w:rsidRPr="00AA3496">
              <w:rPr>
                <w:b/>
                <w:bCs/>
                <w:i/>
                <w:color w:val="002060"/>
                <w:lang w:val="fi-FI"/>
              </w:rPr>
              <w:t>läs</w:t>
            </w:r>
            <w:r w:rsidRPr="00AA3496">
              <w:rPr>
                <w:bCs/>
                <w:i/>
                <w:color w:val="002060"/>
                <w:lang w:val="fi-FI"/>
              </w:rPr>
              <w:t>år.</w:t>
            </w:r>
            <w:r>
              <w:rPr>
                <w:bCs/>
                <w:i/>
                <w:color w:val="002060"/>
                <w:lang w:val="fi-FI"/>
              </w:rPr>
              <w:br/>
            </w:r>
          </w:p>
          <w:p w:rsidR="00133E1D" w:rsidRPr="00AA3496" w:rsidRDefault="00133E1D" w:rsidP="00DD7A4F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2060"/>
                <w:lang w:val="fi-FI"/>
              </w:rPr>
            </w:pPr>
            <w:r w:rsidRPr="00AA3496">
              <w:rPr>
                <w:bCs/>
                <w:i/>
                <w:color w:val="002060"/>
                <w:lang w:val="fi-FI"/>
              </w:rPr>
              <w:t>Godkända studerande kan antingen  avlägga alla kurser som hör till VIExpert-programmet (25 sp) elller välja de kurser som de är intresserade av.</w:t>
            </w:r>
            <w:r w:rsidRPr="00AA3496">
              <w:rPr>
                <w:bCs/>
                <w:i/>
                <w:color w:val="002060"/>
                <w:lang w:val="fi-FI"/>
              </w:rPr>
              <w:br/>
            </w:r>
          </w:p>
          <w:p w:rsidR="00133E1D" w:rsidRPr="00AA3496" w:rsidRDefault="00133E1D" w:rsidP="00AA3496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2060"/>
                <w:lang w:val="fi-FI"/>
              </w:rPr>
            </w:pPr>
            <w:r w:rsidRPr="00AA3496">
              <w:rPr>
                <w:bCs/>
                <w:i/>
                <w:color w:val="002060"/>
                <w:lang w:val="sv-FI"/>
              </w:rPr>
              <w:t>Kolla att du fyller följande ansökningskrav:</w:t>
            </w:r>
            <w:r>
              <w:rPr>
                <w:bCs/>
                <w:i/>
                <w:color w:val="002060"/>
                <w:lang w:val="sv-FI"/>
              </w:rPr>
              <w:br/>
            </w:r>
          </w:p>
          <w:p w:rsidR="00133E1D" w:rsidRPr="00AA3496" w:rsidRDefault="00133E1D" w:rsidP="00AA3496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2060"/>
                <w:lang w:val="fi-FI"/>
              </w:rPr>
            </w:pPr>
            <w:r w:rsidRPr="00AA3496">
              <w:rPr>
                <w:bCs/>
                <w:i/>
                <w:color w:val="002060"/>
                <w:lang w:val="sv-FI"/>
              </w:rPr>
              <w:t>Du deltar eller kommer att delta i magisterstudier på ett nätverkande universitet.</w:t>
            </w:r>
          </w:p>
          <w:p w:rsidR="00133E1D" w:rsidRPr="00AA3496" w:rsidRDefault="00133E1D" w:rsidP="00AA3496">
            <w:pPr>
              <w:pStyle w:val="ListParagraph"/>
              <w:ind w:left="1440"/>
              <w:rPr>
                <w:bCs/>
                <w:i/>
                <w:color w:val="FF0000"/>
                <w:lang w:val="sv-FI"/>
              </w:rPr>
            </w:pPr>
          </w:p>
          <w:p w:rsidR="00133E1D" w:rsidRPr="00AA3496" w:rsidRDefault="00133E1D" w:rsidP="00AA3496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2060"/>
                <w:lang w:val="sv-FI"/>
              </w:rPr>
            </w:pPr>
            <w:r w:rsidRPr="00AA3496">
              <w:rPr>
                <w:bCs/>
                <w:i/>
                <w:color w:val="002060"/>
                <w:lang w:val="sv-FI"/>
              </w:rPr>
              <w:t>Dina kandidatsstudier avslutas senast vid slutet av ansökningsåret eller du har redan kandidatsexamen.</w:t>
            </w:r>
          </w:p>
          <w:p w:rsidR="00133E1D" w:rsidRPr="00AA3496" w:rsidRDefault="00133E1D" w:rsidP="00AA3496">
            <w:pPr>
              <w:pStyle w:val="ListParagraph"/>
              <w:rPr>
                <w:bCs/>
                <w:i/>
                <w:color w:val="7030A0"/>
                <w:lang w:val="sv-FI"/>
              </w:rPr>
            </w:pPr>
          </w:p>
          <w:p w:rsidR="00133E1D" w:rsidRPr="00AA3496" w:rsidRDefault="00133E1D" w:rsidP="00AA3496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2060"/>
                <w:lang w:val="sv-FI"/>
              </w:rPr>
            </w:pPr>
            <w:r w:rsidRPr="00AA3496">
              <w:rPr>
                <w:bCs/>
                <w:i/>
                <w:color w:val="002060"/>
                <w:lang w:val="sv-FI"/>
              </w:rPr>
              <w:t>Du har stark motivation att delta i studier om Ryssland, något land i f.d. Sovjetunionen och/eller Östeuropas länder.</w:t>
            </w:r>
          </w:p>
          <w:p w:rsidR="00133E1D" w:rsidRPr="00AA3496" w:rsidRDefault="00133E1D" w:rsidP="00AA3496">
            <w:pPr>
              <w:rPr>
                <w:bCs/>
                <w:i/>
                <w:color w:val="FF0000"/>
                <w:lang w:val="sv-FI"/>
              </w:rPr>
            </w:pPr>
          </w:p>
          <w:p w:rsidR="00133E1D" w:rsidRPr="00AA3496" w:rsidRDefault="00133E1D" w:rsidP="00AA3496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2060"/>
                <w:lang w:val="sv-FI"/>
              </w:rPr>
            </w:pPr>
            <w:r w:rsidRPr="00AA3496">
              <w:rPr>
                <w:bCs/>
                <w:i/>
                <w:color w:val="002060"/>
                <w:lang w:val="sv-FI"/>
              </w:rPr>
              <w:t>Du har en plan för att skriva din avhandling på ett tema inom VIExpert-programmet.</w:t>
            </w:r>
          </w:p>
          <w:p w:rsidR="00133E1D" w:rsidRPr="00AA3496" w:rsidRDefault="00133E1D" w:rsidP="00AA3496">
            <w:pPr>
              <w:pStyle w:val="ListParagraph"/>
              <w:rPr>
                <w:bCs/>
                <w:i/>
                <w:color w:val="002060"/>
                <w:lang w:val="sv-FI"/>
              </w:rPr>
            </w:pPr>
          </w:p>
          <w:p w:rsidR="00133E1D" w:rsidRPr="00AA3496" w:rsidRDefault="00133E1D" w:rsidP="00AA3496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2060"/>
                <w:lang w:val="sv-FI"/>
              </w:rPr>
            </w:pPr>
            <w:r w:rsidRPr="00AA3496">
              <w:rPr>
                <w:bCs/>
                <w:i/>
                <w:color w:val="002060"/>
                <w:lang w:val="sv-FI"/>
              </w:rPr>
              <w:t>Du har fullfört dina tidigare studier framgångsrikt</w:t>
            </w:r>
          </w:p>
          <w:p w:rsidR="00133E1D" w:rsidRPr="00AA3496" w:rsidRDefault="00133E1D" w:rsidP="00AA3496">
            <w:pPr>
              <w:pStyle w:val="ListParagraph"/>
              <w:rPr>
                <w:bCs/>
                <w:i/>
                <w:color w:val="002060"/>
                <w:lang w:val="sv-FI"/>
              </w:rPr>
            </w:pPr>
          </w:p>
          <w:p w:rsidR="00133E1D" w:rsidRPr="00AA3496" w:rsidRDefault="00133E1D" w:rsidP="00AA3496">
            <w:pPr>
              <w:pStyle w:val="ListParagraph"/>
              <w:numPr>
                <w:ilvl w:val="1"/>
                <w:numId w:val="4"/>
              </w:numPr>
              <w:rPr>
                <w:bCs/>
                <w:i/>
                <w:color w:val="002060"/>
                <w:lang w:val="sv-FI"/>
              </w:rPr>
            </w:pPr>
            <w:r w:rsidRPr="00AA3496">
              <w:rPr>
                <w:bCs/>
                <w:i/>
                <w:color w:val="002060"/>
                <w:lang w:val="sv-FI"/>
              </w:rPr>
              <w:t xml:space="preserve">Du måste lämna in förordblankett. Blanketten undertecknas av din egen läroämneskoordinator eller </w:t>
            </w:r>
            <w:r w:rsidRPr="00AA3496">
              <w:rPr>
                <w:bCs/>
                <w:i/>
                <w:color w:val="002060"/>
                <w:lang w:val="sv-FI"/>
              </w:rPr>
              <w:br/>
              <w:t>avhandlingshandledare.</w:t>
            </w:r>
            <w:r w:rsidRPr="00AA3496">
              <w:rPr>
                <w:bCs/>
                <w:i/>
                <w:color w:val="002060"/>
                <w:lang w:val="sv-FI"/>
              </w:rPr>
              <w:br/>
            </w:r>
          </w:p>
          <w:p w:rsidR="00133E1D" w:rsidRPr="00AA3496" w:rsidRDefault="00133E1D" w:rsidP="00AA3496">
            <w:pPr>
              <w:rPr>
                <w:bCs/>
                <w:i/>
                <w:color w:val="FF0000"/>
                <w:lang w:val="sv-FI"/>
              </w:rPr>
            </w:pPr>
            <w:r w:rsidRPr="00AA3496">
              <w:rPr>
                <w:bCs/>
                <w:i/>
                <w:color w:val="002060"/>
                <w:lang w:val="sv-FI"/>
              </w:rPr>
              <w:t xml:space="preserve">Mer detaljerade regler för ansökning finns här: </w:t>
            </w:r>
            <w:hyperlink r:id="rId8" w:history="1">
              <w:r w:rsidRPr="00AA3496">
                <w:rPr>
                  <w:rStyle w:val="Hyperlink"/>
                  <w:bCs/>
                  <w:i/>
                  <w:lang w:val="sv-FI"/>
                </w:rPr>
                <w:t>https://www2.helsinki.fi/fi/aleksanteri-instituutti/opetus/maisteritason-opinnot/viexpert/hakeminen</w:t>
              </w:r>
            </w:hyperlink>
          </w:p>
          <w:p w:rsidR="00133E1D" w:rsidRPr="000176EC" w:rsidRDefault="00133E1D" w:rsidP="000176EC">
            <w:pPr>
              <w:pStyle w:val="ListParagraph"/>
              <w:rPr>
                <w:bCs/>
                <w:i/>
                <w:color w:val="FF0000"/>
                <w:lang w:val="sv-FI"/>
              </w:rPr>
            </w:pPr>
          </w:p>
          <w:p w:rsidR="00133E1D" w:rsidRPr="00972931" w:rsidRDefault="00133E1D">
            <w:r w:rsidRPr="00972931">
              <w:t> </w:t>
            </w:r>
          </w:p>
          <w:p w:rsidR="00133E1D" w:rsidRPr="00972931" w:rsidRDefault="00133E1D">
            <w:r w:rsidRPr="00972931">
              <w:t> </w:t>
            </w:r>
          </w:p>
        </w:tc>
      </w:tr>
    </w:tbl>
    <w:p w:rsidR="005B6A74" w:rsidRDefault="005B6A74" w:rsidP="00C769B4"/>
    <w:sectPr w:rsidR="005B6A74" w:rsidSect="0097293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F9B"/>
    <w:multiLevelType w:val="hybridMultilevel"/>
    <w:tmpl w:val="8AF8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254FF"/>
    <w:multiLevelType w:val="hybridMultilevel"/>
    <w:tmpl w:val="1874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20BB5"/>
    <w:multiLevelType w:val="hybridMultilevel"/>
    <w:tmpl w:val="AB9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E4BE3"/>
    <w:multiLevelType w:val="hybridMultilevel"/>
    <w:tmpl w:val="C91E3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1"/>
    <w:rsid w:val="00015616"/>
    <w:rsid w:val="000176EC"/>
    <w:rsid w:val="00081B39"/>
    <w:rsid w:val="00096324"/>
    <w:rsid w:val="000F667C"/>
    <w:rsid w:val="00125D3B"/>
    <w:rsid w:val="00133E1D"/>
    <w:rsid w:val="001B5990"/>
    <w:rsid w:val="00250CCD"/>
    <w:rsid w:val="002F7412"/>
    <w:rsid w:val="003222E1"/>
    <w:rsid w:val="003362B6"/>
    <w:rsid w:val="003803A4"/>
    <w:rsid w:val="003C3ECD"/>
    <w:rsid w:val="00412EAE"/>
    <w:rsid w:val="004C6A87"/>
    <w:rsid w:val="00544D8C"/>
    <w:rsid w:val="00557443"/>
    <w:rsid w:val="005A5C95"/>
    <w:rsid w:val="005B6A74"/>
    <w:rsid w:val="005C5A51"/>
    <w:rsid w:val="005E15A9"/>
    <w:rsid w:val="006817D0"/>
    <w:rsid w:val="006E63C2"/>
    <w:rsid w:val="00741ABE"/>
    <w:rsid w:val="007A1D5F"/>
    <w:rsid w:val="007B676F"/>
    <w:rsid w:val="007E4A59"/>
    <w:rsid w:val="00874377"/>
    <w:rsid w:val="00883122"/>
    <w:rsid w:val="008A2E2B"/>
    <w:rsid w:val="00972931"/>
    <w:rsid w:val="00981C73"/>
    <w:rsid w:val="00985E25"/>
    <w:rsid w:val="0099736A"/>
    <w:rsid w:val="00A557B0"/>
    <w:rsid w:val="00AA3496"/>
    <w:rsid w:val="00AB6AD4"/>
    <w:rsid w:val="00AE771A"/>
    <w:rsid w:val="00B354CE"/>
    <w:rsid w:val="00B444FE"/>
    <w:rsid w:val="00C53C71"/>
    <w:rsid w:val="00C769B4"/>
    <w:rsid w:val="00CA2ACA"/>
    <w:rsid w:val="00CB280C"/>
    <w:rsid w:val="00CB4A58"/>
    <w:rsid w:val="00CF22D3"/>
    <w:rsid w:val="00D20F5F"/>
    <w:rsid w:val="00D21CF5"/>
    <w:rsid w:val="00D77400"/>
    <w:rsid w:val="00D9765F"/>
    <w:rsid w:val="00DD7A4F"/>
    <w:rsid w:val="00DE68F1"/>
    <w:rsid w:val="00E11617"/>
    <w:rsid w:val="00E22231"/>
    <w:rsid w:val="00E52E0D"/>
    <w:rsid w:val="00E76F33"/>
    <w:rsid w:val="00EF701F"/>
    <w:rsid w:val="00F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650D-47B4-41C7-A28C-9E087426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729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i-F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B28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80C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7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elsinki.fi/fi/aleksanteri-instituutti/opetus/maisteritason-opinnot/viexpert/hakemine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.helsinki.fi/fi/aleksanteri-instituutti/opetus/maisteritason-opinnot/viexpert/opetusohjelma-2020-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prokkola@hanken.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C852-2CBC-46CC-ABDC-83BCFEE1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Prokkola</dc:creator>
  <cp:keywords/>
  <dc:description/>
  <cp:lastModifiedBy>Irina Prokkola</cp:lastModifiedBy>
  <cp:revision>2</cp:revision>
  <dcterms:created xsi:type="dcterms:W3CDTF">2021-05-19T06:36:00Z</dcterms:created>
  <dcterms:modified xsi:type="dcterms:W3CDTF">2021-05-19T06:36:00Z</dcterms:modified>
</cp:coreProperties>
</file>